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Default="00000000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000000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000000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5E7D5B83" w14:textId="77777777">
        <w:trPr>
          <w:trHeight w:val="452"/>
        </w:trPr>
        <w:tc>
          <w:tcPr>
            <w:tcW w:w="3315" w:type="dxa"/>
          </w:tcPr>
          <w:p w14:paraId="10D446C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327" w:type="dxa"/>
          </w:tcPr>
          <w:p w14:paraId="3AAB739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>
        <w:trPr>
          <w:trHeight w:val="452"/>
        </w:trPr>
        <w:tc>
          <w:tcPr>
            <w:tcW w:w="3315" w:type="dxa"/>
          </w:tcPr>
          <w:p w14:paraId="0A2CA8A1" w14:textId="77777777" w:rsidR="00DB6D1F" w:rsidRDefault="00000000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327" w:type="dxa"/>
          </w:tcPr>
          <w:p w14:paraId="6E4DDB8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>
        <w:trPr>
          <w:trHeight w:val="452"/>
        </w:trPr>
        <w:tc>
          <w:tcPr>
            <w:tcW w:w="3315" w:type="dxa"/>
          </w:tcPr>
          <w:p w14:paraId="46FE217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327" w:type="dxa"/>
          </w:tcPr>
          <w:p w14:paraId="1E569E36" w14:textId="7A7B89A5" w:rsidR="00DB6D1F" w:rsidRDefault="00D75E15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 w:rsidRPr="00D75E15">
              <w:rPr>
                <w:rFonts w:ascii="Times New Roman"/>
              </w:rPr>
              <w:t xml:space="preserve">Vehicle Rental Services for Mercy Corps Nigeria in </w:t>
            </w:r>
            <w:r w:rsidR="009E11C0" w:rsidRPr="00D75E15">
              <w:rPr>
                <w:rFonts w:ascii="Times New Roman"/>
              </w:rPr>
              <w:t>Maiduguri</w:t>
            </w:r>
            <w:r w:rsidRPr="00D75E15">
              <w:rPr>
                <w:rFonts w:ascii="Times New Roman"/>
              </w:rPr>
              <w:t xml:space="preserve"> (including Bama Gwoza, Dikwa Damboa, Ngala, Biu, Monguno</w:t>
            </w:r>
            <w:r w:rsidR="00F4214F">
              <w:rPr>
                <w:rFonts w:ascii="Times New Roman"/>
              </w:rPr>
              <w:t xml:space="preserve"> LGAs</w:t>
            </w:r>
            <w:r w:rsidRPr="00D75E15">
              <w:rPr>
                <w:rFonts w:ascii="Times New Roman"/>
              </w:rPr>
              <w:t>), Abuja, Gombe, Yola, Imo, Damaturu, Abia, Delta, Sokoto, Kaduna, Kebbi, Kano, Katsina, Nasarawa, Plateau, Lagos states</w:t>
            </w:r>
            <w:r>
              <w:rPr>
                <w:rFonts w:ascii="Times New Roman"/>
              </w:rPr>
              <w:t>.</w:t>
            </w:r>
          </w:p>
        </w:tc>
      </w:tr>
      <w:tr w:rsidR="00DB6D1F" w14:paraId="35566421" w14:textId="77777777">
        <w:trPr>
          <w:trHeight w:val="452"/>
        </w:trPr>
        <w:tc>
          <w:tcPr>
            <w:tcW w:w="3315" w:type="dxa"/>
          </w:tcPr>
          <w:p w14:paraId="2F766B3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327" w:type="dxa"/>
          </w:tcPr>
          <w:p w14:paraId="6CFCB270" w14:textId="25DA76BD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NIG/ABV/TEN11</w:t>
            </w:r>
            <w:r w:rsidR="00D75E15">
              <w:rPr>
                <w:rFonts w:ascii="Times New Roman"/>
              </w:rPr>
              <w:t>6</w:t>
            </w:r>
          </w:p>
        </w:tc>
      </w:tr>
      <w:tr w:rsidR="00DB6D1F" w14:paraId="1F5EB5E4" w14:textId="77777777">
        <w:trPr>
          <w:trHeight w:val="455"/>
        </w:trPr>
        <w:tc>
          <w:tcPr>
            <w:tcW w:w="3315" w:type="dxa"/>
          </w:tcPr>
          <w:p w14:paraId="4E4C202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327" w:type="dxa"/>
          </w:tcPr>
          <w:p w14:paraId="5979592B" w14:textId="1736BBFD" w:rsidR="00DB6D1F" w:rsidRDefault="00994991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000000">
              <w:rPr>
                <w:rFonts w:ascii="Times New Roman"/>
              </w:rPr>
              <w:t>th</w:t>
            </w:r>
            <w:r w:rsidR="00000000">
              <w:rPr>
                <w:rFonts w:ascii="Times New Roman"/>
                <w:spacing w:val="-2"/>
              </w:rPr>
              <w:t xml:space="preserve"> </w:t>
            </w:r>
            <w:r w:rsidR="00000000">
              <w:rPr>
                <w:rFonts w:ascii="Times New Roman"/>
              </w:rPr>
              <w:t>November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2024</w:t>
            </w:r>
            <w:r w:rsidR="00000000">
              <w:rPr>
                <w:rFonts w:ascii="Times New Roman"/>
                <w:spacing w:val="-1"/>
              </w:rPr>
              <w:t xml:space="preserve"> </w:t>
            </w:r>
            <w:r w:rsidR="00000000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00000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00000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2713FF1D" w14:textId="7AEB9A1A" w:rsidR="00DB6D1F" w:rsidRPr="00512D40" w:rsidRDefault="00DB6D1F" w:rsidP="00512D40">
      <w:pPr>
        <w:pStyle w:val="Heading2"/>
        <w:spacing w:before="205"/>
        <w:ind w:left="0"/>
        <w:sectPr w:rsidR="00DB6D1F" w:rsidRPr="00512D40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00000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0FED3" w14:textId="77777777" w:rsidR="00512D40" w:rsidRDefault="00512D40">
      <w:pPr>
        <w:pStyle w:val="BodyText"/>
        <w:ind w:left="1403"/>
      </w:pPr>
    </w:p>
    <w:p w14:paraId="30D67462" w14:textId="77777777" w:rsidR="00DB6D1F" w:rsidRDefault="00DB6D1F">
      <w:pPr>
        <w:pStyle w:val="BodyText"/>
        <w:spacing w:before="10"/>
        <w:rPr>
          <w:sz w:val="16"/>
        </w:rPr>
      </w:pPr>
    </w:p>
    <w:p w14:paraId="2E3BAE44" w14:textId="77777777" w:rsidR="00DB6D1F" w:rsidRDefault="00000000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4299384D" w14:textId="77777777" w:rsidR="00DB6D1F" w:rsidRDefault="00DB6D1F">
      <w:pPr>
        <w:pStyle w:val="BodyText"/>
        <w:rPr>
          <w:rFonts w:ascii="Times New Roman"/>
          <w:sz w:val="24"/>
        </w:rPr>
      </w:pP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00000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00000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00000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00000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000000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B0465" w14:textId="77777777" w:rsidR="00DB6D1F" w:rsidRDefault="00000000">
      <w:pPr>
        <w:pStyle w:val="Heading2"/>
        <w:spacing w:before="3"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42445F9" w14:textId="77777777" w:rsidR="00DB6D1F" w:rsidRDefault="0000000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1B7D0C24" w14:textId="77777777">
        <w:trPr>
          <w:trHeight w:val="452"/>
        </w:trPr>
        <w:tc>
          <w:tcPr>
            <w:tcW w:w="4321" w:type="dxa"/>
          </w:tcPr>
          <w:p w14:paraId="7EC25DC1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>
        <w:trPr>
          <w:trHeight w:val="452"/>
        </w:trPr>
        <w:tc>
          <w:tcPr>
            <w:tcW w:w="4321" w:type="dxa"/>
          </w:tcPr>
          <w:p w14:paraId="2747900E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>
        <w:trPr>
          <w:trHeight w:val="455"/>
        </w:trPr>
        <w:tc>
          <w:tcPr>
            <w:tcW w:w="4321" w:type="dxa"/>
          </w:tcPr>
          <w:p w14:paraId="004AEB0C" w14:textId="77777777" w:rsidR="00DB6D1F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D976C" w14:textId="77777777" w:rsidR="00DB6D1F" w:rsidRDefault="00DB6D1F">
      <w:pPr>
        <w:pStyle w:val="BodyText"/>
        <w:rPr>
          <w:rFonts w:ascii="Times New Roman"/>
          <w:i/>
          <w:sz w:val="24"/>
        </w:rPr>
      </w:pP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00000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00000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00000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00000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00000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00000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00000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00000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00000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00000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00000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00000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00000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00000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00000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00000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00000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00000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00000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00000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00000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00000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00000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00000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00000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00000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00000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00000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00000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00000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00000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00000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00000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00000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00000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00000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00000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00000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00000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00000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jc w:val="both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jc w:val="both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jc w:val="both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jc w:val="both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jc w:val="both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00000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00000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36DCD" w14:textId="77777777" w:rsidR="00383AAD" w:rsidRDefault="00383AAD">
      <w:r>
        <w:separator/>
      </w:r>
    </w:p>
  </w:endnote>
  <w:endnote w:type="continuationSeparator" w:id="0">
    <w:p w14:paraId="6EDA7C29" w14:textId="77777777" w:rsidR="00383AAD" w:rsidRDefault="003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00000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00000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0D62" w14:textId="77777777" w:rsidR="00383AAD" w:rsidRDefault="00383AAD">
      <w:r>
        <w:separator/>
      </w:r>
    </w:p>
  </w:footnote>
  <w:footnote w:type="continuationSeparator" w:id="0">
    <w:p w14:paraId="556011CC" w14:textId="77777777" w:rsidR="00383AAD" w:rsidRDefault="0038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153274"/>
    <w:rsid w:val="001931D5"/>
    <w:rsid w:val="002471DF"/>
    <w:rsid w:val="002533F2"/>
    <w:rsid w:val="0032019B"/>
    <w:rsid w:val="00383AAD"/>
    <w:rsid w:val="004E747F"/>
    <w:rsid w:val="00512D40"/>
    <w:rsid w:val="0054442E"/>
    <w:rsid w:val="00625931"/>
    <w:rsid w:val="00994991"/>
    <w:rsid w:val="009E11C0"/>
    <w:rsid w:val="00A2708B"/>
    <w:rsid w:val="00BA3F94"/>
    <w:rsid w:val="00BC5ACE"/>
    <w:rsid w:val="00C10B06"/>
    <w:rsid w:val="00C94DB6"/>
    <w:rsid w:val="00D146A4"/>
    <w:rsid w:val="00D75E15"/>
    <w:rsid w:val="00DB3336"/>
    <w:rsid w:val="00DB6D1F"/>
    <w:rsid w:val="00E44FA8"/>
    <w:rsid w:val="00F10D1D"/>
    <w:rsid w:val="00F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10</cp:revision>
  <dcterms:created xsi:type="dcterms:W3CDTF">2024-11-07T10:51:00Z</dcterms:created>
  <dcterms:modified xsi:type="dcterms:W3CDTF">2024-11-22T00:50:00Z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